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ED5D" w14:textId="0E44657E" w:rsidR="009D1A54" w:rsidRDefault="009D1A54" w:rsidP="00DB1043">
      <w:r w:rsidRPr="009D1A54">
        <w:t>HPV（ヒトパピローマウイルス）とは、子宮頸がんの原因と考えられているウイルスです。女性の多くが一生に一度は感染するといわれ、ほとんどの人は自然に消えるものですが、一部の人で子宮頸がんになってしまうことがあります。HPV（ヒトパピローマウイルス）予防接種により、ウイルスの感染を予防することができます。</w:t>
      </w:r>
    </w:p>
    <w:p w14:paraId="0DE8F84F" w14:textId="77777777" w:rsidR="009D1A54" w:rsidRDefault="009D1A54" w:rsidP="00DB1043"/>
    <w:p w14:paraId="37F77EAA" w14:textId="68642A34" w:rsidR="00DB1043" w:rsidRDefault="00DB1043" w:rsidP="00DB1043">
      <w:r w:rsidRPr="00DB1043">
        <w:rPr>
          <w:rFonts w:hint="eastAsia"/>
        </w:rPr>
        <w:t>欧米では、「マザーキラー」と呼ばれ、小さな子どもを持つ母親たちの命を奪う病気として知られています。</w:t>
      </w:r>
    </w:p>
    <w:p w14:paraId="3CC5A611" w14:textId="5931AC92" w:rsidR="00DB1043" w:rsidRDefault="00DB1043" w:rsidP="00DB1043">
      <w:r w:rsidRPr="00DB1043">
        <w:rPr>
          <w:rFonts w:hint="eastAsia"/>
        </w:rPr>
        <w:t>日本でも20代、30代の子宮頸がんが増加しており、新規患者数は年間約1万人。毎年、約3000人が命を失</w:t>
      </w:r>
      <w:r>
        <w:rPr>
          <w:rFonts w:hint="eastAsia"/>
        </w:rPr>
        <w:t>い</w:t>
      </w:r>
      <w:r w:rsidRPr="00DB1043">
        <w:rPr>
          <w:rFonts w:hint="eastAsia"/>
        </w:rPr>
        <w:t>ます。</w:t>
      </w:r>
    </w:p>
    <w:p w14:paraId="17172C65" w14:textId="77777777" w:rsidR="00417E7B" w:rsidRPr="00DB1043" w:rsidRDefault="00417E7B" w:rsidP="00DB1043"/>
    <w:p w14:paraId="4A837201" w14:textId="5AF0D730" w:rsidR="00DB1043" w:rsidRDefault="00DB1043" w:rsidP="00DB1043">
      <w:r w:rsidRPr="00DB1043">
        <w:rPr>
          <w:rFonts w:hint="eastAsia"/>
        </w:rPr>
        <w:t> HPVワクチンを接種しても、定期的な子宮頸がん検診は受ける必要があります。</w:t>
      </w:r>
    </w:p>
    <w:p w14:paraId="58C24142" w14:textId="77777777" w:rsidR="00807CD2" w:rsidRDefault="00DB1043" w:rsidP="00DB1043">
      <w:r w:rsidRPr="00DB1043">
        <w:rPr>
          <w:rFonts w:hint="eastAsia"/>
        </w:rPr>
        <w:t>それは、完全に予防できるわけではないからです</w:t>
      </w:r>
      <w:r w:rsidR="00807CD2">
        <w:rPr>
          <w:rFonts w:hint="eastAsia"/>
        </w:rPr>
        <w:t>。</w:t>
      </w:r>
    </w:p>
    <w:p w14:paraId="73670C43" w14:textId="2F4E6ADA" w:rsidR="00DB1043" w:rsidRDefault="00807CD2" w:rsidP="00DB1043">
      <w:r>
        <w:rPr>
          <w:rFonts w:hint="eastAsia"/>
        </w:rPr>
        <w:t>しかし</w:t>
      </w:r>
      <w:r w:rsidR="00DB1043" w:rsidRPr="00DB1043">
        <w:rPr>
          <w:rFonts w:hint="eastAsia"/>
        </w:rPr>
        <w:t>、ワクチンを接種することで</w:t>
      </w:r>
      <w:r w:rsidR="00DB1043" w:rsidRPr="00DB1043">
        <w:t>60~70%の子宮頸がんを予防できます</w:t>
      </w:r>
      <w:r w:rsidR="006E5421">
        <w:rPr>
          <w:rFonts w:hint="eastAsia"/>
        </w:rPr>
        <w:t>。</w:t>
      </w:r>
    </w:p>
    <w:p w14:paraId="335C0816" w14:textId="2FB96BED" w:rsidR="00DB1043" w:rsidRPr="00DB1043" w:rsidRDefault="00DB1043" w:rsidP="00DB1043">
      <w:r w:rsidRPr="00DB1043">
        <w:rPr>
          <w:rFonts w:hint="eastAsia"/>
        </w:rPr>
        <w:t>子宮頸がんを減らすことが証明されている唯一の予防策は、HPVワクチン接種だけです。</w:t>
      </w:r>
    </w:p>
    <w:p w14:paraId="096248A4" w14:textId="1A8979FF" w:rsidR="00DB1043" w:rsidRDefault="00DB1043"/>
    <w:p w14:paraId="334F3414" w14:textId="0ADAC3DA" w:rsidR="006E5421" w:rsidRDefault="00DB1043">
      <w:r w:rsidRPr="00DB1043">
        <w:rPr>
          <w:rFonts w:hint="eastAsia"/>
        </w:rPr>
        <w:t>厚労省によると、子宮頸がんワクチンを接種した人は約</w:t>
      </w:r>
      <w:r w:rsidRPr="00DB1043">
        <w:t>338万人。そのうち、副反応の疑いがあったとされるのは1925人で約0.06%、症状が残っていた患者は186人で約0.005%とのことで、HPVワクチンで副反応が出た可能性のある人は1万人中、約6人。症状が残った可能性があるのは1万人中、約0.5人となります。</w:t>
      </w:r>
    </w:p>
    <w:p w14:paraId="05982916" w14:textId="77777777" w:rsidR="007F061B" w:rsidRDefault="007F061B"/>
    <w:p w14:paraId="23152F4B" w14:textId="77777777" w:rsidR="007F061B" w:rsidRDefault="006E5421">
      <w:r w:rsidRPr="006E5421">
        <w:rPr>
          <w:rFonts w:hint="eastAsia"/>
        </w:rPr>
        <w:t>日本の子宮頸がん検診受診率は</w:t>
      </w:r>
      <w:r w:rsidRPr="006E5421">
        <w:t>24％と、諸外国（米国83％、英国70％、韓国42％、2007年）に比べ、大幅に低くなっています。日本で子宮頸がん患者が若年層に増えているのは、若い世代の人々が検診を受けていないということが大きな要因です。</w:t>
      </w:r>
    </w:p>
    <w:p w14:paraId="16B83D6F" w14:textId="396CEEE2" w:rsidR="006E5421" w:rsidRDefault="006E5421">
      <w:r w:rsidRPr="006E5421">
        <w:t>子宮頸がんは、初期症状の全くない場合が多いことから、20代からの定期的な検診受診が極めて重要です。</w:t>
      </w:r>
    </w:p>
    <w:p w14:paraId="58FF385C" w14:textId="77777777" w:rsidR="006E5421" w:rsidRDefault="006E5421" w:rsidP="006E5421">
      <w:r>
        <w:rPr>
          <w:rFonts w:hint="eastAsia"/>
        </w:rPr>
        <w:t>子宮頸がんはワクチンを接種することと、定期的に健診を受けることによって予防できる疾患です。ワクチン接種率と検診受診率がともに</w:t>
      </w:r>
      <w:r>
        <w:t>85％以上になれば、95％の子宮頸がんの予防が可能になります。</w:t>
      </w:r>
    </w:p>
    <w:p w14:paraId="58350B23" w14:textId="7EC405E4" w:rsidR="006E5421" w:rsidRDefault="006E5421" w:rsidP="006E5421">
      <w:r>
        <w:rPr>
          <w:rFonts w:hint="eastAsia"/>
        </w:rPr>
        <w:t>日本の現状は予防接種、検診ともに</w:t>
      </w:r>
      <w:r>
        <w:t>50％にも満たない状況です。</w:t>
      </w:r>
    </w:p>
    <w:p w14:paraId="4122FE21" w14:textId="767C0D07" w:rsidR="007F061B" w:rsidRDefault="007F061B" w:rsidP="006E5421"/>
    <w:p w14:paraId="380D90E1" w14:textId="77777777" w:rsidR="007F061B" w:rsidRDefault="007F061B" w:rsidP="007F061B">
      <w:r>
        <w:rPr>
          <w:rFonts w:hint="eastAsia"/>
        </w:rPr>
        <w:t>平成</w:t>
      </w:r>
      <w:r>
        <w:t>25年4月に予防接種法に定める定期予防接種とされましたが、同年6月に「ワクチン接種後にワクチンとの因果関係が否定できない持続的な痛みが特異的に見られた」ことから、国民に適切な情報提供ができるまでの間、積極的に勧奨すべきでないとされました。</w:t>
      </w:r>
    </w:p>
    <w:p w14:paraId="100CCBF8" w14:textId="5AEB780A" w:rsidR="007F061B" w:rsidRPr="00DB1043" w:rsidRDefault="007F061B" w:rsidP="007F061B">
      <w:r>
        <w:rPr>
          <w:rFonts w:hint="eastAsia"/>
        </w:rPr>
        <w:t>その後、令和</w:t>
      </w:r>
      <w:r>
        <w:t>3年11月に「HPVワクチンの安全性について特段の懸念が認められないことが確認され、接種による有効性が副反応のリスクを明らかに上回ると認められた」ため、積極的勧奨が再開されることとなりました。</w:t>
      </w:r>
    </w:p>
    <w:sectPr w:rsidR="007F061B" w:rsidRPr="00DB10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0F1E" w14:textId="77777777" w:rsidR="00C15DBF" w:rsidRDefault="00C15DBF" w:rsidP="00DB1043">
      <w:r>
        <w:separator/>
      </w:r>
    </w:p>
  </w:endnote>
  <w:endnote w:type="continuationSeparator" w:id="0">
    <w:p w14:paraId="321765DD" w14:textId="77777777" w:rsidR="00C15DBF" w:rsidRDefault="00C15DBF" w:rsidP="00DB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277A" w14:textId="77777777" w:rsidR="00C15DBF" w:rsidRDefault="00C15DBF" w:rsidP="00DB1043">
      <w:r>
        <w:separator/>
      </w:r>
    </w:p>
  </w:footnote>
  <w:footnote w:type="continuationSeparator" w:id="0">
    <w:p w14:paraId="5831D393" w14:textId="77777777" w:rsidR="00C15DBF" w:rsidRDefault="00C15DBF" w:rsidP="00DB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1BD9" w14:textId="1DF32471" w:rsidR="00DB1043" w:rsidRDefault="00DB1043">
    <w:pPr>
      <w:pStyle w:val="a3"/>
    </w:pPr>
    <w:r>
      <w:rPr>
        <w:noProof/>
      </w:rPr>
      <mc:AlternateContent>
        <mc:Choice Requires="wps">
          <w:drawing>
            <wp:anchor distT="0" distB="0" distL="114300" distR="114300" simplePos="0" relativeHeight="251659264" behindDoc="0" locked="0" layoutInCell="0" allowOverlap="1" wp14:anchorId="13C9C6DD" wp14:editId="19E32D7F">
              <wp:simplePos x="0" y="0"/>
              <wp:positionH relativeFrom="page">
                <wp:posOffset>0</wp:posOffset>
              </wp:positionH>
              <wp:positionV relativeFrom="page">
                <wp:posOffset>190500</wp:posOffset>
              </wp:positionV>
              <wp:extent cx="7560310" cy="273050"/>
              <wp:effectExtent l="0" t="0" r="0" b="12700"/>
              <wp:wrapNone/>
              <wp:docPr id="1" name="MSIPCM52ec418ba8fb2b3e6256adb0" descr="{&quot;HashCode&quot;:-13053679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A0A5A" w14:textId="0151891B" w:rsidR="00DB1043" w:rsidRPr="00DB1043" w:rsidRDefault="00DB1043" w:rsidP="00DB1043">
                          <w:pPr>
                            <w:jc w:val="left"/>
                            <w:rPr>
                              <w:rFonts w:ascii="Calibri" w:hAnsi="Calibri"/>
                              <w:color w:val="03C03C"/>
                              <w:sz w:val="24"/>
                            </w:rPr>
                          </w:pPr>
                          <w:r w:rsidRPr="00DB1043">
                            <w:rPr>
                              <w:rFonts w:ascii="Calibri" w:hAnsi="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C9C6DD" id="_x0000_t202" coordsize="21600,21600" o:spt="202" path="m,l,21600r21600,l21600,xe">
              <v:stroke joinstyle="miter"/>
              <v:path gradientshapeok="t" o:connecttype="rect"/>
            </v:shapetype>
            <v:shape id="MSIPCM52ec418ba8fb2b3e6256adb0" o:spid="_x0000_s1026" type="#_x0000_t202" alt="{&quot;HashCode&quot;:-130536796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CA0A5A" w14:textId="0151891B" w:rsidR="00DB1043" w:rsidRPr="00DB1043" w:rsidRDefault="00DB1043" w:rsidP="00DB1043">
                    <w:pPr>
                      <w:jc w:val="left"/>
                      <w:rPr>
                        <w:rFonts w:ascii="Calibri" w:hAnsi="Calibri"/>
                        <w:color w:val="03C03C"/>
                        <w:sz w:val="24"/>
                      </w:rPr>
                    </w:pPr>
                    <w:r w:rsidRPr="00DB1043">
                      <w:rPr>
                        <w:rFonts w:ascii="Calibri" w:hAnsi="Calibri"/>
                        <w:color w:val="03C03C"/>
                        <w:sz w:val="24"/>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1F3986"/>
    <w:rsid w:val="00417E7B"/>
    <w:rsid w:val="00471E09"/>
    <w:rsid w:val="006E5421"/>
    <w:rsid w:val="007C12FD"/>
    <w:rsid w:val="007F061B"/>
    <w:rsid w:val="00807CD2"/>
    <w:rsid w:val="009D1A54"/>
    <w:rsid w:val="00C15DBF"/>
    <w:rsid w:val="00DB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FFC6F"/>
  <w15:chartTrackingRefBased/>
  <w15:docId w15:val="{B614F1AC-ED57-4D92-B59E-DB0DF5B0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043"/>
    <w:pPr>
      <w:tabs>
        <w:tab w:val="center" w:pos="4252"/>
        <w:tab w:val="right" w:pos="8504"/>
      </w:tabs>
      <w:snapToGrid w:val="0"/>
    </w:pPr>
  </w:style>
  <w:style w:type="character" w:customStyle="1" w:styleId="a4">
    <w:name w:val="ヘッダー (文字)"/>
    <w:basedOn w:val="a0"/>
    <w:link w:val="a3"/>
    <w:uiPriority w:val="99"/>
    <w:rsid w:val="00DB1043"/>
  </w:style>
  <w:style w:type="paragraph" w:styleId="a5">
    <w:name w:val="footer"/>
    <w:basedOn w:val="a"/>
    <w:link w:val="a6"/>
    <w:uiPriority w:val="99"/>
    <w:unhideWhenUsed/>
    <w:rsid w:val="00DB1043"/>
    <w:pPr>
      <w:tabs>
        <w:tab w:val="center" w:pos="4252"/>
        <w:tab w:val="right" w:pos="8504"/>
      </w:tabs>
      <w:snapToGrid w:val="0"/>
    </w:pPr>
  </w:style>
  <w:style w:type="character" w:customStyle="1" w:styleId="a6">
    <w:name w:val="フッター (文字)"/>
    <w:basedOn w:val="a0"/>
    <w:link w:val="a5"/>
    <w:uiPriority w:val="99"/>
    <w:rsid w:val="00DB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0266">
      <w:bodyDiv w:val="1"/>
      <w:marLeft w:val="0"/>
      <w:marRight w:val="0"/>
      <w:marTop w:val="0"/>
      <w:marBottom w:val="0"/>
      <w:divBdr>
        <w:top w:val="none" w:sz="0" w:space="0" w:color="auto"/>
        <w:left w:val="none" w:sz="0" w:space="0" w:color="auto"/>
        <w:bottom w:val="none" w:sz="0" w:space="0" w:color="auto"/>
        <w:right w:val="none" w:sz="0" w:space="0" w:color="auto"/>
      </w:divBdr>
    </w:div>
    <w:div w:id="16266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EA39-9A36-4F0A-8E52-043A8C32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Naoki</dc:creator>
  <cp:keywords/>
  <dc:description/>
  <cp:lastModifiedBy>iheiseikai@clock.ocn.ne.jp</cp:lastModifiedBy>
  <cp:revision>2</cp:revision>
  <dcterms:created xsi:type="dcterms:W3CDTF">2022-07-01T00:44:00Z</dcterms:created>
  <dcterms:modified xsi:type="dcterms:W3CDTF">2022-07-01T00:44:00Z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4a5f65-4bbe-4bbe-bb66-e23e35795661_Enabled">
    <vt:lpwstr>true</vt:lpwstr>
  </property>
  <property fmtid="{D5CDD505-2E9C-101B-9397-08002B2CF9AE}" pid="3" name="MSIP_Label_794a5f65-4bbe-4bbe-bb66-e23e35795661_SetDate">
    <vt:lpwstr>2022-06-22T02:22:47Z</vt:lpwstr>
  </property>
  <property fmtid="{D5CDD505-2E9C-101B-9397-08002B2CF9AE}" pid="4" name="MSIP_Label_794a5f65-4bbe-4bbe-bb66-e23e35795661_Method">
    <vt:lpwstr>Privileged</vt:lpwstr>
  </property>
  <property fmtid="{D5CDD505-2E9C-101B-9397-08002B2CF9AE}" pid="5" name="MSIP_Label_794a5f65-4bbe-4bbe-bb66-e23e35795661_Name">
    <vt:lpwstr>794a5f65-4bbe-4bbe-bb66-e23e35795661</vt:lpwstr>
  </property>
  <property fmtid="{D5CDD505-2E9C-101B-9397-08002B2CF9AE}" pid="6" name="MSIP_Label_794a5f65-4bbe-4bbe-bb66-e23e35795661_SiteId">
    <vt:lpwstr>a00de4ec-48a8-43a6-be74-e31274e2060d</vt:lpwstr>
  </property>
  <property fmtid="{D5CDD505-2E9C-101B-9397-08002B2CF9AE}" pid="7" name="MSIP_Label_794a5f65-4bbe-4bbe-bb66-e23e35795661_ActionId">
    <vt:lpwstr>4cd3c0f6-4460-4058-9487-3e26fb7d765d</vt:lpwstr>
  </property>
  <property fmtid="{D5CDD505-2E9C-101B-9397-08002B2CF9AE}" pid="8" name="MSIP_Label_794a5f65-4bbe-4bbe-bb66-e23e35795661_ContentBits">
    <vt:lpwstr>1</vt:lpwstr>
  </property>
  <property fmtid="{D5CDD505-2E9C-101B-9397-08002B2CF9AE}" pid="9" name="MerckAIPLabel">
    <vt:lpwstr>Public</vt:lpwstr>
  </property>
  <property fmtid="{D5CDD505-2E9C-101B-9397-08002B2CF9AE}" pid="10" name="MerckAIPDataExchange">
    <vt:lpwstr>!MRKMIP@Public</vt:lpwstr>
  </property>
</Properties>
</file>